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34A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E574A1D" w14:textId="77777777" w:rsidTr="005F7F7E">
        <w:tc>
          <w:tcPr>
            <w:tcW w:w="2438" w:type="dxa"/>
            <w:shd w:val="clear" w:color="auto" w:fill="auto"/>
          </w:tcPr>
          <w:p w14:paraId="5C1D97D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6574DF9" w14:textId="77777777" w:rsidR="00F445B1" w:rsidRPr="00F95BC9" w:rsidRDefault="00DB7AD7" w:rsidP="004A6D2F">
            <w:pPr>
              <w:rPr>
                <w:rStyle w:val="Firstpagetablebold"/>
              </w:rPr>
            </w:pPr>
            <w:r>
              <w:rPr>
                <w:rStyle w:val="Firstpagetablebold"/>
              </w:rPr>
              <w:t>Cabinet</w:t>
            </w:r>
          </w:p>
        </w:tc>
      </w:tr>
      <w:tr w:rsidR="00CE544A" w:rsidRPr="00975B07" w14:paraId="73C8FF01" w14:textId="77777777" w:rsidTr="005F7F7E">
        <w:tc>
          <w:tcPr>
            <w:tcW w:w="2438" w:type="dxa"/>
            <w:shd w:val="clear" w:color="auto" w:fill="auto"/>
          </w:tcPr>
          <w:p w14:paraId="45C2E95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17F82C7" w14:textId="688D5888" w:rsidR="00F445B1" w:rsidRPr="001356F1" w:rsidRDefault="00615BCE" w:rsidP="00762E34">
            <w:pPr>
              <w:rPr>
                <w:b/>
              </w:rPr>
            </w:pPr>
            <w:r>
              <w:rPr>
                <w:rStyle w:val="Firstpagetablebold"/>
              </w:rPr>
              <w:t xml:space="preserve">9 December 2020 </w:t>
            </w:r>
          </w:p>
        </w:tc>
      </w:tr>
      <w:tr w:rsidR="00CE544A" w:rsidRPr="00975B07" w14:paraId="19E80D54" w14:textId="77777777" w:rsidTr="005F7F7E">
        <w:tc>
          <w:tcPr>
            <w:tcW w:w="2438" w:type="dxa"/>
            <w:shd w:val="clear" w:color="auto" w:fill="auto"/>
          </w:tcPr>
          <w:p w14:paraId="00EBCD1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27AB6B" w14:textId="3297FDF3" w:rsidR="00F445B1" w:rsidRPr="001356F1" w:rsidRDefault="00A21299" w:rsidP="00762E34">
            <w:pPr>
              <w:rPr>
                <w:rStyle w:val="Firstpagetablebold"/>
              </w:rPr>
            </w:pPr>
            <w:r>
              <w:rPr>
                <w:rStyle w:val="Firstpagetablebold"/>
              </w:rPr>
              <w:t xml:space="preserve">Executive Director </w:t>
            </w:r>
            <w:r w:rsidR="00762E34">
              <w:rPr>
                <w:rStyle w:val="Firstpagetablebold"/>
              </w:rPr>
              <w:t>-</w:t>
            </w:r>
            <w:r>
              <w:rPr>
                <w:rStyle w:val="Firstpagetablebold"/>
              </w:rPr>
              <w:t xml:space="preserve"> Development</w:t>
            </w:r>
          </w:p>
        </w:tc>
      </w:tr>
      <w:tr w:rsidR="00CE544A" w:rsidRPr="00975B07" w14:paraId="5F9DB6E5" w14:textId="77777777" w:rsidTr="005F7F7E">
        <w:tc>
          <w:tcPr>
            <w:tcW w:w="2438" w:type="dxa"/>
            <w:shd w:val="clear" w:color="auto" w:fill="auto"/>
          </w:tcPr>
          <w:p w14:paraId="76540C4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1680BE9" w14:textId="77777777" w:rsidR="00F445B1" w:rsidRPr="00792DBD" w:rsidRDefault="00792DBD" w:rsidP="00792DBD">
            <w:pPr>
              <w:rPr>
                <w:rStyle w:val="Firstpagetablebold"/>
              </w:rPr>
            </w:pPr>
            <w:r w:rsidRPr="00792DBD">
              <w:rPr>
                <w:rStyle w:val="Firstpagetablebold"/>
              </w:rPr>
              <w:t xml:space="preserve">Redevelopment of </w:t>
            </w:r>
            <w:r w:rsidR="00615BCE" w:rsidRPr="00A73DF8">
              <w:rPr>
                <w:rStyle w:val="Firstpagetablebold"/>
              </w:rPr>
              <w:t>Boswells Department Store</w:t>
            </w:r>
            <w:r w:rsidRPr="00A73DF8">
              <w:rPr>
                <w:rStyle w:val="Firstpagetablebold"/>
              </w:rPr>
              <w:t xml:space="preserve">, </w:t>
            </w:r>
            <w:r w:rsidRPr="00283678">
              <w:rPr>
                <w:b/>
              </w:rPr>
              <w:t>1-5 Broad Street</w:t>
            </w:r>
            <w:r w:rsidR="00615BCE" w:rsidRPr="00792DBD">
              <w:rPr>
                <w:rStyle w:val="Firstpagetablebold"/>
              </w:rPr>
              <w:t xml:space="preserve"> </w:t>
            </w:r>
          </w:p>
        </w:tc>
      </w:tr>
    </w:tbl>
    <w:p w14:paraId="407E537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A1A4AF5" w14:textId="77777777" w:rsidTr="0080749A">
        <w:tc>
          <w:tcPr>
            <w:tcW w:w="8845" w:type="dxa"/>
            <w:gridSpan w:val="3"/>
            <w:tcBorders>
              <w:bottom w:val="single" w:sz="8" w:space="0" w:color="000000"/>
            </w:tcBorders>
            <w:hideMark/>
          </w:tcPr>
          <w:p w14:paraId="4954179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ADDC568" w14:textId="77777777" w:rsidTr="0080749A">
        <w:tc>
          <w:tcPr>
            <w:tcW w:w="2438" w:type="dxa"/>
            <w:gridSpan w:val="2"/>
            <w:tcBorders>
              <w:top w:val="single" w:sz="8" w:space="0" w:color="000000"/>
              <w:left w:val="single" w:sz="8" w:space="0" w:color="000000"/>
              <w:bottom w:val="nil"/>
              <w:right w:val="nil"/>
            </w:tcBorders>
            <w:hideMark/>
          </w:tcPr>
          <w:p w14:paraId="1DBA74F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5251686" w14:textId="77777777" w:rsidR="00D5547E" w:rsidRPr="001356F1" w:rsidRDefault="00A21299" w:rsidP="00A21299">
            <w:r>
              <w:t>To seek approval</w:t>
            </w:r>
            <w:r w:rsidR="005B3F90" w:rsidRPr="005B3F90">
              <w:t xml:space="preserve"> to enter into an agreement to enable the redevelopment of the Boswells department store to create a new 4* hotel.</w:t>
            </w:r>
          </w:p>
        </w:tc>
      </w:tr>
      <w:tr w:rsidR="00D5547E" w14:paraId="214E385B" w14:textId="77777777" w:rsidTr="0080749A">
        <w:tc>
          <w:tcPr>
            <w:tcW w:w="2438" w:type="dxa"/>
            <w:gridSpan w:val="2"/>
            <w:tcBorders>
              <w:top w:val="nil"/>
              <w:left w:val="single" w:sz="8" w:space="0" w:color="000000"/>
              <w:bottom w:val="nil"/>
              <w:right w:val="nil"/>
            </w:tcBorders>
            <w:hideMark/>
          </w:tcPr>
          <w:p w14:paraId="38EAFF7F"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A588760" w14:textId="77777777" w:rsidR="00D5547E" w:rsidRPr="001356F1" w:rsidRDefault="00D5547E" w:rsidP="005F7F7E">
            <w:r w:rsidRPr="001356F1">
              <w:t xml:space="preserve">Yes </w:t>
            </w:r>
          </w:p>
        </w:tc>
      </w:tr>
      <w:tr w:rsidR="00D5547E" w14:paraId="3074609C" w14:textId="77777777" w:rsidTr="0080749A">
        <w:tc>
          <w:tcPr>
            <w:tcW w:w="2438" w:type="dxa"/>
            <w:gridSpan w:val="2"/>
            <w:tcBorders>
              <w:top w:val="nil"/>
              <w:left w:val="single" w:sz="8" w:space="0" w:color="000000"/>
              <w:bottom w:val="nil"/>
              <w:right w:val="nil"/>
            </w:tcBorders>
            <w:hideMark/>
          </w:tcPr>
          <w:p w14:paraId="50D4C3A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D632AFA" w14:textId="77777777" w:rsidR="00D5547E" w:rsidRPr="005B3F90" w:rsidRDefault="00D5547E" w:rsidP="00A21299">
            <w:pPr>
              <w:rPr>
                <w:color w:val="FF0000"/>
              </w:rPr>
            </w:pPr>
            <w:r w:rsidRPr="001356F1">
              <w:t xml:space="preserve">Councillor </w:t>
            </w:r>
            <w:r w:rsidR="005B3F90">
              <w:t xml:space="preserve">Ed Turner </w:t>
            </w:r>
          </w:p>
        </w:tc>
      </w:tr>
      <w:tr w:rsidR="0080749A" w14:paraId="4C72EF20" w14:textId="77777777" w:rsidTr="0080749A">
        <w:tc>
          <w:tcPr>
            <w:tcW w:w="2438" w:type="dxa"/>
            <w:gridSpan w:val="2"/>
            <w:tcBorders>
              <w:top w:val="nil"/>
              <w:left w:val="single" w:sz="8" w:space="0" w:color="000000"/>
              <w:bottom w:val="nil"/>
              <w:right w:val="nil"/>
            </w:tcBorders>
          </w:tcPr>
          <w:p w14:paraId="7BAB0574"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D31D988" w14:textId="319B58F8" w:rsidR="001B606C" w:rsidRPr="001B606C" w:rsidRDefault="008E2C80" w:rsidP="008E2C80">
            <w:r w:rsidRPr="008E2C80">
              <w:t>Foster</w:t>
            </w:r>
            <w:r w:rsidR="009930F0" w:rsidRPr="008E2C80">
              <w:t xml:space="preserve"> an Inclusive Economy</w:t>
            </w:r>
          </w:p>
        </w:tc>
      </w:tr>
      <w:tr w:rsidR="00D5547E" w14:paraId="5F484B48" w14:textId="77777777" w:rsidTr="0080749A">
        <w:tc>
          <w:tcPr>
            <w:tcW w:w="2438" w:type="dxa"/>
            <w:gridSpan w:val="2"/>
            <w:tcBorders>
              <w:top w:val="nil"/>
              <w:left w:val="single" w:sz="8" w:space="0" w:color="000000"/>
              <w:bottom w:val="nil"/>
              <w:right w:val="nil"/>
            </w:tcBorders>
            <w:hideMark/>
          </w:tcPr>
          <w:p w14:paraId="704C8BB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398FDAA" w14:textId="2FB101C7" w:rsidR="00D5547E" w:rsidRPr="001356F1" w:rsidRDefault="008E2C80" w:rsidP="005F7F7E">
            <w:r>
              <w:t>Council Strategy 2020-24</w:t>
            </w:r>
          </w:p>
        </w:tc>
      </w:tr>
      <w:tr w:rsidR="005F7F7E" w:rsidRPr="00975B07" w14:paraId="1B592893" w14:textId="77777777" w:rsidTr="00A46E98">
        <w:trPr>
          <w:trHeight w:val="413"/>
        </w:trPr>
        <w:tc>
          <w:tcPr>
            <w:tcW w:w="8845" w:type="dxa"/>
            <w:gridSpan w:val="3"/>
            <w:tcBorders>
              <w:bottom w:val="single" w:sz="8" w:space="0" w:color="000000"/>
            </w:tcBorders>
          </w:tcPr>
          <w:p w14:paraId="737CF1E7" w14:textId="2790C49A" w:rsidR="005F7F7E" w:rsidRPr="00975B07" w:rsidRDefault="008E2C80" w:rsidP="00DB7AD7">
            <w:proofErr w:type="spellStart"/>
            <w:r>
              <w:rPr>
                <w:rStyle w:val="Firstpagetablebold"/>
              </w:rPr>
              <w:t>Recommendations</w:t>
            </w:r>
            <w:r w:rsidR="005F7F7E">
              <w:rPr>
                <w:rStyle w:val="Firstpagetablebold"/>
              </w:rPr>
              <w:t>:</w:t>
            </w:r>
            <w:r w:rsidR="005F7F7E" w:rsidRPr="008E2C80">
              <w:rPr>
                <w:rStyle w:val="Firstpagetablebold"/>
                <w:b w:val="0"/>
              </w:rPr>
              <w:t>That</w:t>
            </w:r>
            <w:proofErr w:type="spellEnd"/>
            <w:r w:rsidR="005F7F7E" w:rsidRPr="008E2C80">
              <w:rPr>
                <w:rStyle w:val="Firstpagetablebold"/>
                <w:b w:val="0"/>
              </w:rPr>
              <w:t xml:space="preserve"> </w:t>
            </w:r>
            <w:r w:rsidR="00DB7AD7" w:rsidRPr="008E2C80">
              <w:rPr>
                <w:rStyle w:val="Firstpagetablebold"/>
                <w:b w:val="0"/>
              </w:rPr>
              <w:t>Cabinet</w:t>
            </w:r>
            <w:r w:rsidR="005F7F7E" w:rsidRPr="008E2C80">
              <w:rPr>
                <w:rStyle w:val="Firstpagetablebold"/>
                <w:b w:val="0"/>
              </w:rPr>
              <w:t xml:space="preserve"> resolves to:</w:t>
            </w:r>
          </w:p>
        </w:tc>
      </w:tr>
      <w:tr w:rsidR="0030208D" w:rsidRPr="00975B07" w14:paraId="054C0E35" w14:textId="77777777" w:rsidTr="008E2C80">
        <w:trPr>
          <w:trHeight w:val="283"/>
        </w:trPr>
        <w:tc>
          <w:tcPr>
            <w:tcW w:w="426" w:type="dxa"/>
            <w:tcBorders>
              <w:top w:val="single" w:sz="8" w:space="0" w:color="000000"/>
              <w:left w:val="single" w:sz="8" w:space="0" w:color="000000"/>
              <w:bottom w:val="nil"/>
              <w:right w:val="nil"/>
            </w:tcBorders>
          </w:tcPr>
          <w:p w14:paraId="46765A68"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45771ACD" w14:textId="784B5EA1" w:rsidR="0030208D" w:rsidRPr="001356F1" w:rsidRDefault="007326A9" w:rsidP="00762E34">
            <w:r w:rsidRPr="008E2C80">
              <w:rPr>
                <w:b/>
              </w:rPr>
              <w:t>Approve</w:t>
            </w:r>
            <w:r w:rsidR="00A21299">
              <w:t xml:space="preserve"> the </w:t>
            </w:r>
            <w:r w:rsidR="00143F7D">
              <w:t>terms</w:t>
            </w:r>
            <w:r>
              <w:t xml:space="preserve"> </w:t>
            </w:r>
            <w:r w:rsidR="00762E34">
              <w:t>negotiated</w:t>
            </w:r>
            <w:r w:rsidR="00A21299">
              <w:t xml:space="preserve"> in relation to the redevelopment of the Boswells Department Store</w:t>
            </w:r>
            <w:r w:rsidR="009930F0">
              <w:t xml:space="preserve"> as set out in Exempt Appendix 2 - not for publication</w:t>
            </w:r>
            <w:r w:rsidR="008E2C80">
              <w:t xml:space="preserve">; and </w:t>
            </w:r>
          </w:p>
        </w:tc>
      </w:tr>
      <w:tr w:rsidR="0030208D" w:rsidRPr="00975B07" w14:paraId="260F10B8" w14:textId="77777777" w:rsidTr="008E2C80">
        <w:trPr>
          <w:trHeight w:val="283"/>
        </w:trPr>
        <w:tc>
          <w:tcPr>
            <w:tcW w:w="426" w:type="dxa"/>
            <w:tcBorders>
              <w:top w:val="nil"/>
              <w:left w:val="single" w:sz="8" w:space="0" w:color="000000"/>
              <w:bottom w:val="single" w:sz="4" w:space="0" w:color="auto"/>
              <w:right w:val="nil"/>
            </w:tcBorders>
          </w:tcPr>
          <w:p w14:paraId="51C9B1AA"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41B19941" w14:textId="0316C8F9" w:rsidR="00BC6E90" w:rsidRPr="00BC6E90" w:rsidRDefault="00BC6E90" w:rsidP="00BC6E90">
            <w:pPr>
              <w:pStyle w:val="ListParagraph"/>
              <w:numPr>
                <w:ilvl w:val="0"/>
                <w:numId w:val="0"/>
              </w:numPr>
              <w:ind w:left="33"/>
              <w:rPr>
                <w:rStyle w:val="Firstpagetablebold"/>
                <w:b w:val="0"/>
              </w:rPr>
            </w:pPr>
            <w:r w:rsidRPr="008E2C80">
              <w:rPr>
                <w:rStyle w:val="Firstpagetablebold"/>
              </w:rPr>
              <w:t>Delegate</w:t>
            </w:r>
            <w:r w:rsidRPr="00BC6E90">
              <w:rPr>
                <w:rStyle w:val="Firstpagetablebold"/>
                <w:b w:val="0"/>
              </w:rPr>
              <w:t xml:space="preserve"> authority to the Exe</w:t>
            </w:r>
            <w:r w:rsidR="00143F7D">
              <w:rPr>
                <w:rStyle w:val="Firstpagetablebold"/>
                <w:b w:val="0"/>
              </w:rPr>
              <w:t xml:space="preserve">cutive Director </w:t>
            </w:r>
            <w:r w:rsidR="007A1E9C">
              <w:rPr>
                <w:rStyle w:val="Firstpagetablebold"/>
                <w:b w:val="0"/>
              </w:rPr>
              <w:t>–</w:t>
            </w:r>
            <w:r w:rsidR="00143F7D">
              <w:rPr>
                <w:rStyle w:val="Firstpagetablebold"/>
                <w:b w:val="0"/>
              </w:rPr>
              <w:t xml:space="preserve"> Development</w:t>
            </w:r>
            <w:r w:rsidR="007A1E9C">
              <w:rPr>
                <w:rStyle w:val="Firstpagetablebold"/>
                <w:b w:val="0"/>
              </w:rPr>
              <w:t>, in consultation with the Section 151 officer</w:t>
            </w:r>
            <w:r w:rsidR="00762E34">
              <w:rPr>
                <w:rStyle w:val="Firstpagetablebold"/>
                <w:b w:val="0"/>
              </w:rPr>
              <w:t xml:space="preserve">, Head of Law and Governance </w:t>
            </w:r>
            <w:r w:rsidR="007A1E9C">
              <w:rPr>
                <w:rStyle w:val="Firstpagetablebold"/>
                <w:b w:val="0"/>
              </w:rPr>
              <w:t>and the Cabinet Member for Finance and Property,</w:t>
            </w:r>
            <w:r w:rsidRPr="00BC6E90">
              <w:rPr>
                <w:rStyle w:val="Firstpagetablebold"/>
                <w:b w:val="0"/>
              </w:rPr>
              <w:t xml:space="preserve"> to vary those ter</w:t>
            </w:r>
            <w:r>
              <w:rPr>
                <w:rStyle w:val="Firstpagetablebold"/>
                <w:b w:val="0"/>
              </w:rPr>
              <w:t>ms on condition that the revised</w:t>
            </w:r>
            <w:r w:rsidRPr="00BC6E90">
              <w:rPr>
                <w:rStyle w:val="Firstpagetablebold"/>
                <w:b w:val="0"/>
              </w:rPr>
              <w:t xml:space="preserve"> terms continue to represent the best consideration reasonably obtainable</w:t>
            </w:r>
            <w:r w:rsidR="00C530DE">
              <w:rPr>
                <w:rStyle w:val="Firstpagetablebold"/>
                <w:b w:val="0"/>
              </w:rPr>
              <w:t xml:space="preserve"> </w:t>
            </w:r>
          </w:p>
          <w:p w14:paraId="55512BED" w14:textId="77777777" w:rsidR="0030208D" w:rsidRPr="00A21299" w:rsidRDefault="0030208D" w:rsidP="00A21299">
            <w:pPr>
              <w:jc w:val="both"/>
            </w:pPr>
          </w:p>
        </w:tc>
      </w:tr>
      <w:bookmarkEnd w:id="0"/>
    </w:tbl>
    <w:p w14:paraId="2B0132B8"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A9661D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8038872" w14:textId="77777777" w:rsidR="00966D42" w:rsidRPr="00975B07" w:rsidRDefault="00966D42" w:rsidP="00263EA3">
            <w:pPr>
              <w:jc w:val="center"/>
            </w:pPr>
            <w:r w:rsidRPr="00745BF0">
              <w:rPr>
                <w:rStyle w:val="Firstpagetablebold"/>
              </w:rPr>
              <w:t>Appendices</w:t>
            </w:r>
          </w:p>
        </w:tc>
      </w:tr>
      <w:tr w:rsidR="00ED5860" w:rsidRPr="00975B07" w14:paraId="26E2E476" w14:textId="77777777" w:rsidTr="00A46E98">
        <w:tc>
          <w:tcPr>
            <w:tcW w:w="2438" w:type="dxa"/>
            <w:tcBorders>
              <w:top w:val="single" w:sz="8" w:space="0" w:color="000000"/>
              <w:left w:val="single" w:sz="8" w:space="0" w:color="000000"/>
              <w:bottom w:val="nil"/>
              <w:right w:val="nil"/>
            </w:tcBorders>
            <w:shd w:val="clear" w:color="auto" w:fill="auto"/>
          </w:tcPr>
          <w:p w14:paraId="2633780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1F915E7F" w14:textId="0144BD18" w:rsidR="00ED5860" w:rsidRPr="001356F1" w:rsidRDefault="00514478" w:rsidP="00514478">
            <w:r>
              <w:t>Appendix 1</w:t>
            </w:r>
          </w:p>
        </w:tc>
      </w:tr>
      <w:tr w:rsidR="00ED5860" w:rsidRPr="00975B07" w14:paraId="26993360" w14:textId="77777777" w:rsidTr="00A46E98">
        <w:tc>
          <w:tcPr>
            <w:tcW w:w="2438" w:type="dxa"/>
            <w:tcBorders>
              <w:top w:val="nil"/>
              <w:left w:val="single" w:sz="8" w:space="0" w:color="000000"/>
              <w:bottom w:val="nil"/>
              <w:right w:val="nil"/>
            </w:tcBorders>
            <w:shd w:val="clear" w:color="auto" w:fill="auto"/>
          </w:tcPr>
          <w:p w14:paraId="696350CA"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221F51FE" w14:textId="77777777" w:rsidR="00ED5860" w:rsidRPr="001356F1" w:rsidRDefault="001B606C" w:rsidP="004A6D2F">
            <w:r>
              <w:t>Exempt Appendix 2 – Not for publication</w:t>
            </w:r>
          </w:p>
        </w:tc>
      </w:tr>
      <w:tr w:rsidR="0030208D" w:rsidRPr="00975B07" w14:paraId="66F02672" w14:textId="77777777" w:rsidTr="00A46E98">
        <w:tc>
          <w:tcPr>
            <w:tcW w:w="2438" w:type="dxa"/>
            <w:tcBorders>
              <w:top w:val="nil"/>
              <w:left w:val="single" w:sz="8" w:space="0" w:color="000000"/>
              <w:bottom w:val="nil"/>
              <w:right w:val="nil"/>
            </w:tcBorders>
            <w:shd w:val="clear" w:color="auto" w:fill="auto"/>
          </w:tcPr>
          <w:p w14:paraId="5E54A2E5"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6FFA0DCB" w14:textId="77777777" w:rsidR="0030208D" w:rsidRPr="001356F1" w:rsidRDefault="001B606C" w:rsidP="00143F7D">
            <w:r>
              <w:t xml:space="preserve">Exempt Appendix 3 – </w:t>
            </w:r>
            <w:r w:rsidR="00143F7D">
              <w:t>Not for publication</w:t>
            </w:r>
          </w:p>
        </w:tc>
      </w:tr>
      <w:tr w:rsidR="0030208D" w:rsidRPr="00975B07" w14:paraId="0398AF79" w14:textId="77777777" w:rsidTr="00A46E98">
        <w:tc>
          <w:tcPr>
            <w:tcW w:w="2438" w:type="dxa"/>
            <w:tcBorders>
              <w:top w:val="nil"/>
              <w:left w:val="single" w:sz="8" w:space="0" w:color="000000"/>
              <w:bottom w:val="single" w:sz="8" w:space="0" w:color="000000"/>
              <w:right w:val="nil"/>
            </w:tcBorders>
            <w:shd w:val="clear" w:color="auto" w:fill="auto"/>
          </w:tcPr>
          <w:p w14:paraId="25FFCD71" w14:textId="77777777" w:rsidR="0030208D" w:rsidRDefault="0030208D" w:rsidP="004A6D2F">
            <w:r w:rsidRPr="00975B07">
              <w:t>Appendix 4</w:t>
            </w:r>
          </w:p>
          <w:p w14:paraId="61791C59" w14:textId="77777777" w:rsidR="00143F7D" w:rsidRPr="00975B07" w:rsidRDefault="00143F7D" w:rsidP="004A6D2F"/>
        </w:tc>
        <w:tc>
          <w:tcPr>
            <w:tcW w:w="6406" w:type="dxa"/>
            <w:tcBorders>
              <w:top w:val="nil"/>
              <w:left w:val="nil"/>
              <w:bottom w:val="single" w:sz="8" w:space="0" w:color="000000"/>
              <w:right w:val="single" w:sz="8" w:space="0" w:color="000000"/>
            </w:tcBorders>
          </w:tcPr>
          <w:p w14:paraId="7E417A4A" w14:textId="77777777" w:rsidR="00143F7D" w:rsidRDefault="007326A9" w:rsidP="004A6D2F">
            <w:r>
              <w:t>Exempt Appendix 4</w:t>
            </w:r>
            <w:r w:rsidR="001B606C">
              <w:t xml:space="preserve"> – </w:t>
            </w:r>
            <w:r>
              <w:t>Risk Register</w:t>
            </w:r>
          </w:p>
          <w:p w14:paraId="30FD61AB" w14:textId="77777777" w:rsidR="00143F7D" w:rsidRPr="001356F1" w:rsidRDefault="00143F7D" w:rsidP="004A6D2F"/>
        </w:tc>
      </w:tr>
    </w:tbl>
    <w:p w14:paraId="7E7A4916" w14:textId="77777777" w:rsidR="008E2C80" w:rsidRDefault="008E2C80" w:rsidP="004A6D2F">
      <w:pPr>
        <w:pStyle w:val="Heading1"/>
      </w:pPr>
    </w:p>
    <w:p w14:paraId="139059FA"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23D874F5" w14:textId="6CDEF9FE" w:rsidR="00435DC4" w:rsidRDefault="00062673" w:rsidP="00435DC4">
      <w:pPr>
        <w:pStyle w:val="ListParagraph"/>
      </w:pPr>
      <w:r w:rsidRPr="00062673">
        <w:t xml:space="preserve"> Oxford City Council </w:t>
      </w:r>
      <w:r w:rsidR="00C73899">
        <w:t>owns the freehold interest in 1-5 Broad Street.  This property</w:t>
      </w:r>
      <w:r w:rsidR="00283678">
        <w:t xml:space="preserve"> </w:t>
      </w:r>
      <w:r w:rsidR="00C73899">
        <w:t>was leased to Boswells on a 99 year lease, from 1959.  The leased property forms part of the Boswells Department Store.</w:t>
      </w:r>
      <w:r w:rsidRPr="00062673">
        <w:t xml:space="preserve"> </w:t>
      </w:r>
    </w:p>
    <w:p w14:paraId="420BAA21" w14:textId="411A7EDE" w:rsidR="00062673" w:rsidRPr="00062673" w:rsidRDefault="00435DC4" w:rsidP="00B63DE0">
      <w:pPr>
        <w:pStyle w:val="ListParagraph"/>
      </w:pPr>
      <w:r w:rsidRPr="00062673">
        <w:t xml:space="preserve">The lease </w:t>
      </w:r>
      <w:r w:rsidR="00C73899">
        <w:t xml:space="preserve">to Boswells </w:t>
      </w:r>
      <w:r w:rsidRPr="00062673">
        <w:t>expires</w:t>
      </w:r>
      <w:r w:rsidR="00C73899">
        <w:t xml:space="preserve"> on</w:t>
      </w:r>
      <w:r w:rsidRPr="00062673">
        <w:t xml:space="preserve"> 23</w:t>
      </w:r>
      <w:r w:rsidRPr="00283678">
        <w:t>rd</w:t>
      </w:r>
      <w:r w:rsidRPr="00062673">
        <w:t xml:space="preserve"> June 2058, giving a</w:t>
      </w:r>
      <w:r w:rsidR="00C73899">
        <w:t xml:space="preserve"> current</w:t>
      </w:r>
      <w:r w:rsidRPr="00062673">
        <w:t xml:space="preserve"> unexpired term of less than 38 years. This lease generates an annual income </w:t>
      </w:r>
      <w:r w:rsidR="00C73899">
        <w:t>for</w:t>
      </w:r>
      <w:r w:rsidRPr="00062673">
        <w:t xml:space="preserve"> OCC of </w:t>
      </w:r>
      <w:r w:rsidR="002064D4">
        <w:t xml:space="preserve">£1,950pa. The plan in </w:t>
      </w:r>
      <w:r w:rsidR="007326A9">
        <w:t>Appendix 1</w:t>
      </w:r>
      <w:r w:rsidRPr="00062673">
        <w:t xml:space="preserve"> shows OCC</w:t>
      </w:r>
      <w:r w:rsidR="00C73899">
        <w:t>’s freehold</w:t>
      </w:r>
      <w:r w:rsidRPr="00062673">
        <w:t xml:space="preserve"> ownership outlined in red. The property outlined in blue is </w:t>
      </w:r>
      <w:r w:rsidR="000F23EE">
        <w:t>owned Freehold by</w:t>
      </w:r>
      <w:r w:rsidR="00C72BCC">
        <w:t xml:space="preserve"> </w:t>
      </w:r>
      <w:r w:rsidRPr="00062673">
        <w:t>Boswells</w:t>
      </w:r>
      <w:r w:rsidR="00C73899">
        <w:t xml:space="preserve"> and together with red and blue land make up the whole of the Boswells site</w:t>
      </w:r>
      <w:r w:rsidRPr="00062673">
        <w:t>.</w:t>
      </w:r>
    </w:p>
    <w:p w14:paraId="548A86A2" w14:textId="2954DFC5" w:rsidR="007A1E9C" w:rsidRDefault="007A1E9C" w:rsidP="00B63DE0">
      <w:pPr>
        <w:pStyle w:val="ListParagraph"/>
      </w:pPr>
      <w:r>
        <w:t xml:space="preserve">Boswells undertook to sell </w:t>
      </w:r>
      <w:r w:rsidR="00C73899">
        <w:t>its</w:t>
      </w:r>
      <w:r>
        <w:t xml:space="preserve"> interest in the building and selected developers </w:t>
      </w:r>
      <w:r w:rsidR="000F23EE">
        <w:t>Reef</w:t>
      </w:r>
      <w:r>
        <w:t xml:space="preserve"> as part of this process. Reef</w:t>
      </w:r>
      <w:r w:rsidR="000F23EE">
        <w:t xml:space="preserve"> </w:t>
      </w:r>
      <w:r w:rsidR="00062673" w:rsidRPr="00062673">
        <w:t>ha</w:t>
      </w:r>
      <w:r w:rsidR="00C73899">
        <w:t>ve</w:t>
      </w:r>
      <w:r w:rsidR="00062673" w:rsidRPr="00062673">
        <w:t xml:space="preserve"> now exchanged contracts to acquire Boswells</w:t>
      </w:r>
      <w:r w:rsidR="001D78AD">
        <w:t>’</w:t>
      </w:r>
      <w:r w:rsidR="00283678">
        <w:t xml:space="preserve"> freehold</w:t>
      </w:r>
      <w:r w:rsidR="00C530DE">
        <w:t xml:space="preserve"> (shown blue)</w:t>
      </w:r>
      <w:r w:rsidR="00283678">
        <w:t xml:space="preserve"> </w:t>
      </w:r>
      <w:r w:rsidR="00C530DE">
        <w:t xml:space="preserve">as well as the </w:t>
      </w:r>
      <w:r w:rsidR="00283678">
        <w:t>Long Leasehold</w:t>
      </w:r>
      <w:r w:rsidR="00062673" w:rsidRPr="00062673">
        <w:t xml:space="preserve"> interest</w:t>
      </w:r>
      <w:r w:rsidR="00C530DE">
        <w:t xml:space="preserve"> over the Councils land (shown red)</w:t>
      </w:r>
      <w:r>
        <w:t>,</w:t>
      </w:r>
      <w:r w:rsidR="00062673" w:rsidRPr="00062673">
        <w:t xml:space="preserve"> subject to both planning and agreement with the Council </w:t>
      </w:r>
      <w:r w:rsidR="00C73899">
        <w:t xml:space="preserve">in relation to </w:t>
      </w:r>
      <w:r w:rsidR="00062673" w:rsidRPr="00062673">
        <w:t>the matters descr</w:t>
      </w:r>
      <w:r w:rsidR="007326A9">
        <w:t>ibed in the Exempt Appendix 2.</w:t>
      </w:r>
      <w:r w:rsidR="00062673" w:rsidRPr="00062673">
        <w:t xml:space="preserve"> </w:t>
      </w:r>
    </w:p>
    <w:p w14:paraId="2EC2805B" w14:textId="2FC9281C" w:rsidR="003F5896" w:rsidRDefault="00062673" w:rsidP="003F5896">
      <w:pPr>
        <w:pStyle w:val="ListParagraph"/>
        <w:rPr>
          <w:rFonts w:ascii="Frutiger-Light" w:hAnsi="Frutiger-Light"/>
          <w:i/>
          <w:iCs/>
          <w:color w:val="auto"/>
          <w:sz w:val="20"/>
          <w:szCs w:val="20"/>
        </w:rPr>
      </w:pPr>
      <w:r w:rsidRPr="00062673">
        <w:t>The core of the proposal is to convert the building into a hotel, with flexible café/bar and co-workspace on the ground floor</w:t>
      </w:r>
      <w:r w:rsidR="007A1E9C">
        <w:t xml:space="preserve"> and top floor</w:t>
      </w:r>
      <w:r w:rsidRPr="00062673">
        <w:t>.</w:t>
      </w:r>
      <w:r w:rsidR="003F5896">
        <w:t xml:space="preserve"> </w:t>
      </w:r>
      <w:r w:rsidR="003F5896" w:rsidRPr="003F5896">
        <w:rPr>
          <w:rFonts w:cs="Arial"/>
          <w:iCs/>
        </w:rPr>
        <w:t>As identified in the Oxford Local Plan 2036, Oxfordshire Industrial Strategy and the council’s emerging Economic Strategy, proposals which facilitate longer stays will assist in increasing spend in Oxford’s shops and restaurants which will in turn boost their viability and Oxford’s economy. This is increasingly important in the context of the city’s economic recovery from the current pandemic. In addition to tourists, the short-stay accommodation market has been and is expected to continue to be very strong for business travellers in Oxford. As identified in the Local Plan, there is significant unmet demand and potential for growth in all varieties of short-stay accommodation, particularly when compared with those of comparable cities. Although this information pre-dated the current pandemic it remains an important objective to ensure there is sufficient quality accommodation to support business in the city. Increased investment in areas such as high grade hotel stock could be important in our economic recovery, complement Oxford’s global brand, and create more accessible, permanent jobs for the wider community. The Local Plan identifies the City Centre as an appropriate location for hotels and short stay accommodation.</w:t>
      </w:r>
      <w:r w:rsidR="003F5896" w:rsidRPr="003F5896">
        <w:rPr>
          <w:rFonts w:ascii="Frutiger-Light" w:hAnsi="Frutiger-Light"/>
          <w:iCs/>
          <w:sz w:val="20"/>
          <w:szCs w:val="20"/>
        </w:rPr>
        <w:t xml:space="preserve"> </w:t>
      </w:r>
    </w:p>
    <w:p w14:paraId="615BDC1A" w14:textId="4AFFF4C4" w:rsidR="00E87F7A" w:rsidRDefault="00062673" w:rsidP="00B63DE0">
      <w:pPr>
        <w:pStyle w:val="ListParagraph"/>
      </w:pPr>
      <w:r w:rsidRPr="00062673">
        <w:t xml:space="preserve"> Reef ha</w:t>
      </w:r>
      <w:bookmarkStart w:id="1" w:name="LastEdit"/>
      <w:bookmarkEnd w:id="1"/>
      <w:r w:rsidRPr="00062673">
        <w:t>s</w:t>
      </w:r>
      <w:r w:rsidR="000F23EE">
        <w:t xml:space="preserve"> </w:t>
      </w:r>
      <w:r w:rsidRPr="00062673">
        <w:t>submitted its</w:t>
      </w:r>
      <w:r w:rsidR="000F23EE">
        <w:t xml:space="preserve"> </w:t>
      </w:r>
      <w:r w:rsidRPr="00062673">
        <w:t xml:space="preserve">planning application and </w:t>
      </w:r>
      <w:r w:rsidR="000F23EE">
        <w:t xml:space="preserve">is </w:t>
      </w:r>
      <w:r w:rsidRPr="00062673">
        <w:t>anticipating determination in January</w:t>
      </w:r>
      <w:r w:rsidR="00762E34">
        <w:t xml:space="preserve"> 2021</w:t>
      </w:r>
      <w:r w:rsidRPr="00062673">
        <w:t xml:space="preserve">. </w:t>
      </w:r>
    </w:p>
    <w:p w14:paraId="54CD8D46" w14:textId="77777777" w:rsidR="0040736F" w:rsidRPr="001356F1" w:rsidRDefault="002329CF" w:rsidP="004A6D2F">
      <w:pPr>
        <w:pStyle w:val="Heading1"/>
      </w:pPr>
      <w:r w:rsidRPr="001356F1">
        <w:t>Financial implications</w:t>
      </w:r>
    </w:p>
    <w:p w14:paraId="6CB1A15A" w14:textId="77777777" w:rsidR="00E87F7A" w:rsidRPr="001356F1" w:rsidRDefault="00CA6F77" w:rsidP="005570B5">
      <w:pPr>
        <w:pStyle w:val="ListParagraph"/>
      </w:pPr>
      <w:r>
        <w:t>T</w:t>
      </w:r>
      <w:r w:rsidR="00BC6E90">
        <w:t>hese are set out in exempt</w:t>
      </w:r>
      <w:r w:rsidR="007326A9">
        <w:t xml:space="preserve"> appendix 2</w:t>
      </w:r>
      <w:r>
        <w:t xml:space="preserve"> to this report.</w:t>
      </w:r>
    </w:p>
    <w:p w14:paraId="7587DB40" w14:textId="77777777" w:rsidR="0040736F" w:rsidRPr="001356F1" w:rsidRDefault="00DA614B" w:rsidP="004A6D2F">
      <w:pPr>
        <w:pStyle w:val="Heading1"/>
      </w:pPr>
      <w:r w:rsidRPr="001356F1">
        <w:t>Legal issues</w:t>
      </w:r>
    </w:p>
    <w:p w14:paraId="77F31345" w14:textId="77777777" w:rsidR="00E87F7A" w:rsidRPr="001356F1" w:rsidRDefault="00CA6F77" w:rsidP="005570B5">
      <w:pPr>
        <w:pStyle w:val="ListParagraph"/>
      </w:pPr>
      <w:r>
        <w:t>T</w:t>
      </w:r>
      <w:r w:rsidR="00BC6E90">
        <w:t>hese are set out in exempt</w:t>
      </w:r>
      <w:r w:rsidR="007326A9">
        <w:t xml:space="preserve"> appendix 2</w:t>
      </w:r>
      <w:r>
        <w:t xml:space="preserve"> to this report.</w:t>
      </w:r>
    </w:p>
    <w:p w14:paraId="433722FF" w14:textId="77777777" w:rsidR="002329CF" w:rsidRPr="001356F1" w:rsidRDefault="002329CF" w:rsidP="004A6D2F">
      <w:pPr>
        <w:pStyle w:val="Heading1"/>
      </w:pPr>
      <w:r w:rsidRPr="001356F1">
        <w:t>Level of risk</w:t>
      </w:r>
    </w:p>
    <w:p w14:paraId="35465DE4" w14:textId="4A654554" w:rsidR="00CA6F77" w:rsidRPr="00CA6F77" w:rsidRDefault="000F23EE" w:rsidP="00CA6F77">
      <w:pPr>
        <w:pStyle w:val="ListParagraph"/>
      </w:pPr>
      <w:r>
        <w:t xml:space="preserve">Detail </w:t>
      </w:r>
      <w:r w:rsidR="001D78AD">
        <w:t xml:space="preserve">of </w:t>
      </w:r>
      <w:r w:rsidR="001D78AD" w:rsidRPr="00CA6F77">
        <w:t>risk</w:t>
      </w:r>
      <w:r w:rsidR="00CA6F77" w:rsidRPr="00CA6F77">
        <w:t xml:space="preserve"> management and mitigation is set out in the confidential Appendix 1 to this report.  A confidential risk register is attached as Appendix 3 to this document.</w:t>
      </w:r>
    </w:p>
    <w:p w14:paraId="678CB1B8" w14:textId="77777777" w:rsidR="002329CF" w:rsidRPr="001356F1" w:rsidRDefault="002329CF" w:rsidP="0050321C">
      <w:pPr>
        <w:pStyle w:val="Heading1"/>
      </w:pPr>
      <w:r w:rsidRPr="001356F1">
        <w:t xml:space="preserve">Equalities impact </w:t>
      </w:r>
    </w:p>
    <w:p w14:paraId="3435FDEB" w14:textId="70FB41C5" w:rsidR="002329CF" w:rsidRPr="006C3647" w:rsidRDefault="00924A5C" w:rsidP="00924A5C">
      <w:pPr>
        <w:pStyle w:val="ListParagraph"/>
      </w:pPr>
      <w:r>
        <w:t xml:space="preserve">This transaction will generate a return to the General Fund, enabling the Council to provide discretionary services </w:t>
      </w:r>
      <w:r w:rsidR="00464A35">
        <w:rPr>
          <w:color w:val="auto"/>
        </w:rPr>
        <w:t>which delivers</w:t>
      </w:r>
      <w:r w:rsidRPr="00924A5C">
        <w:rPr>
          <w:color w:val="auto"/>
        </w:rPr>
        <w:t xml:space="preserve"> benefit</w:t>
      </w:r>
      <w:r w:rsidR="00464A35">
        <w:rPr>
          <w:color w:val="auto"/>
        </w:rPr>
        <w:t xml:space="preserve"> to</w:t>
      </w:r>
      <w:r w:rsidRPr="00924A5C">
        <w:rPr>
          <w:color w:val="auto"/>
        </w:rPr>
        <w:t xml:space="preserve"> the most vulnerable.</w:t>
      </w:r>
    </w:p>
    <w:p w14:paraId="040B21D0" w14:textId="77777777" w:rsidR="006C3647" w:rsidRPr="001356F1" w:rsidRDefault="006C3647" w:rsidP="006C3647">
      <w:pPr>
        <w:pStyle w:val="ListParagraph"/>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9FA743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65AFC5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B8E37AB" w14:textId="77777777" w:rsidR="00E87F7A" w:rsidRPr="001356F1" w:rsidRDefault="00CA6F77" w:rsidP="00A46E98">
            <w:r>
              <w:t>Emma Gubbins</w:t>
            </w:r>
          </w:p>
        </w:tc>
      </w:tr>
      <w:tr w:rsidR="00DF093E" w:rsidRPr="001356F1" w14:paraId="1138927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849145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69DDD1E" w14:textId="77777777" w:rsidR="00E87F7A" w:rsidRPr="001356F1" w:rsidRDefault="00CA6F77" w:rsidP="00A46E98">
            <w:r>
              <w:t>Senior Estates Surveyor</w:t>
            </w:r>
          </w:p>
        </w:tc>
      </w:tr>
      <w:tr w:rsidR="00DF093E" w:rsidRPr="001356F1" w14:paraId="749B22ED" w14:textId="77777777" w:rsidTr="00A46E98">
        <w:trPr>
          <w:cantSplit/>
          <w:trHeight w:val="396"/>
        </w:trPr>
        <w:tc>
          <w:tcPr>
            <w:tcW w:w="3969" w:type="dxa"/>
            <w:tcBorders>
              <w:top w:val="nil"/>
              <w:left w:val="single" w:sz="8" w:space="0" w:color="000000"/>
              <w:bottom w:val="nil"/>
              <w:right w:val="nil"/>
            </w:tcBorders>
            <w:shd w:val="clear" w:color="auto" w:fill="auto"/>
          </w:tcPr>
          <w:p w14:paraId="42573BB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79AB193" w14:textId="77777777" w:rsidR="00E87F7A" w:rsidRPr="001356F1" w:rsidRDefault="00CA6F77" w:rsidP="00A46E98">
            <w:r>
              <w:t>Regeneration and Major Projects</w:t>
            </w:r>
          </w:p>
        </w:tc>
      </w:tr>
      <w:tr w:rsidR="00DF093E" w:rsidRPr="001356F1" w14:paraId="6C6F2423" w14:textId="77777777" w:rsidTr="00A46E98">
        <w:trPr>
          <w:cantSplit/>
          <w:trHeight w:val="396"/>
        </w:trPr>
        <w:tc>
          <w:tcPr>
            <w:tcW w:w="3969" w:type="dxa"/>
            <w:tcBorders>
              <w:top w:val="nil"/>
              <w:left w:val="single" w:sz="8" w:space="0" w:color="000000"/>
              <w:bottom w:val="nil"/>
              <w:right w:val="nil"/>
            </w:tcBorders>
            <w:shd w:val="clear" w:color="auto" w:fill="auto"/>
          </w:tcPr>
          <w:p w14:paraId="7E97C5B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F892C24" w14:textId="77777777" w:rsidR="00E87F7A" w:rsidRPr="001356F1" w:rsidRDefault="00CA6F77" w:rsidP="00A46E98">
            <w:r>
              <w:t>01865 252011</w:t>
            </w:r>
          </w:p>
        </w:tc>
      </w:tr>
      <w:tr w:rsidR="005570B5" w:rsidRPr="001356F1" w14:paraId="03787C5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ECA425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608FC6" w14:textId="77777777" w:rsidR="00E87F7A" w:rsidRPr="001356F1" w:rsidRDefault="00CA6F77" w:rsidP="00A46E98">
            <w:pPr>
              <w:rPr>
                <w:rStyle w:val="Hyperlink"/>
                <w:color w:val="000000"/>
              </w:rPr>
            </w:pPr>
            <w:r>
              <w:rPr>
                <w:rStyle w:val="Hyperlink"/>
                <w:color w:val="000000"/>
              </w:rPr>
              <w:t>egubbins@oxford.gov.uk</w:t>
            </w:r>
          </w:p>
        </w:tc>
      </w:tr>
    </w:tbl>
    <w:p w14:paraId="4047E908"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A8F892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1C3AB4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21A87A2" w14:textId="77777777" w:rsidR="00CE4C87" w:rsidRDefault="00CE4C87" w:rsidP="0093067A"/>
    <w:p w14:paraId="0ED21ECE" w14:textId="77777777" w:rsidR="007326A9" w:rsidRDefault="007326A9" w:rsidP="00C85B4E">
      <w:pPr>
        <w:rPr>
          <w:b/>
        </w:rPr>
      </w:pPr>
    </w:p>
    <w:sectPr w:rsidR="007326A9"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1A57" w14:textId="77777777" w:rsidR="00802AE3" w:rsidRDefault="00802AE3" w:rsidP="004A6D2F">
      <w:r>
        <w:separator/>
      </w:r>
    </w:p>
  </w:endnote>
  <w:endnote w:type="continuationSeparator" w:id="0">
    <w:p w14:paraId="42047F86" w14:textId="77777777" w:rsidR="00802AE3" w:rsidRDefault="00802A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DB5D" w14:textId="77777777" w:rsidR="00364FAD" w:rsidRDefault="00364FAD" w:rsidP="004A6D2F">
    <w:pPr>
      <w:pStyle w:val="Footer"/>
    </w:pPr>
    <w:r>
      <w:t>Do not use a footer or page numbers.</w:t>
    </w:r>
  </w:p>
  <w:p w14:paraId="09F57B05" w14:textId="77777777" w:rsidR="00364FAD" w:rsidRDefault="00364FAD" w:rsidP="004A6D2F">
    <w:pPr>
      <w:pStyle w:val="Footer"/>
    </w:pPr>
  </w:p>
  <w:p w14:paraId="297D289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25E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6CD12" w14:textId="77777777" w:rsidR="00802AE3" w:rsidRDefault="00802AE3" w:rsidP="004A6D2F">
      <w:r>
        <w:separator/>
      </w:r>
    </w:p>
  </w:footnote>
  <w:footnote w:type="continuationSeparator" w:id="0">
    <w:p w14:paraId="106BF1C8" w14:textId="77777777" w:rsidR="00802AE3" w:rsidRDefault="00802AE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9794" w14:textId="77777777" w:rsidR="00D5547E" w:rsidRDefault="001638B5" w:rsidP="00D5547E">
    <w:pPr>
      <w:pStyle w:val="Header"/>
      <w:jc w:val="right"/>
    </w:pPr>
    <w:r>
      <w:rPr>
        <w:noProof/>
      </w:rPr>
      <w:drawing>
        <wp:inline distT="0" distB="0" distL="0" distR="0" wp14:anchorId="28739FD8" wp14:editId="76C7D86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C0767A"/>
    <w:multiLevelType w:val="hybridMultilevel"/>
    <w:tmpl w:val="DB526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94166"/>
    <w:multiLevelType w:val="hybridMultilevel"/>
    <w:tmpl w:val="61BA9602"/>
    <w:lvl w:ilvl="0" w:tplc="3AFE8E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BA0ACF"/>
    <w:multiLevelType w:val="hybridMultilevel"/>
    <w:tmpl w:val="029EE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8"/>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i w:val="0"/>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lvlOverride w:ilvl="0">
      <w:lvl w:ilvl="0">
        <w:start w:val="1"/>
        <w:numFmt w:val="decimal"/>
        <w:pStyle w:val="ListParagraph"/>
        <w:lvlText w:val="%1."/>
        <w:lvlJc w:val="left"/>
        <w:pPr>
          <w:ind w:left="360" w:hanging="360"/>
        </w:pPr>
        <w:rPr>
          <w:rFonts w:ascii="Arial" w:hAnsi="Arial"/>
          <w:b w:val="0"/>
          <w:color w:val="000000"/>
          <w:sz w:val="24"/>
        </w:rPr>
      </w:lvl>
    </w:lvlOverride>
  </w:num>
  <w:num w:numId="35">
    <w:abstractNumId w:val="27"/>
  </w:num>
  <w:num w:numId="36">
    <w:abstractNumId w:val="26"/>
  </w:num>
  <w:num w:numId="37">
    <w:abstractNumId w:val="15"/>
  </w:num>
  <w:num w:numId="38">
    <w:abstractNumId w:val="35"/>
  </w:num>
  <w:num w:numId="39">
    <w:abstractNumId w:val="35"/>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3/11/2020 11:21"/>
  </w:docVars>
  <w:rsids>
    <w:rsidRoot w:val="00615BCE"/>
    <w:rsid w:val="000117D4"/>
    <w:rsid w:val="000314D7"/>
    <w:rsid w:val="00045F8B"/>
    <w:rsid w:val="00046D2B"/>
    <w:rsid w:val="00056263"/>
    <w:rsid w:val="00062673"/>
    <w:rsid w:val="00064D8A"/>
    <w:rsid w:val="00064F82"/>
    <w:rsid w:val="00066510"/>
    <w:rsid w:val="00077523"/>
    <w:rsid w:val="000C089F"/>
    <w:rsid w:val="000C3928"/>
    <w:rsid w:val="000C5E8E"/>
    <w:rsid w:val="000F23EE"/>
    <w:rsid w:val="000F4751"/>
    <w:rsid w:val="00101852"/>
    <w:rsid w:val="0010524C"/>
    <w:rsid w:val="00105476"/>
    <w:rsid w:val="00111FB1"/>
    <w:rsid w:val="00113418"/>
    <w:rsid w:val="001356F1"/>
    <w:rsid w:val="00136994"/>
    <w:rsid w:val="0014128E"/>
    <w:rsid w:val="00143F7D"/>
    <w:rsid w:val="00151888"/>
    <w:rsid w:val="001638B5"/>
    <w:rsid w:val="00170A2D"/>
    <w:rsid w:val="001752AD"/>
    <w:rsid w:val="001808BC"/>
    <w:rsid w:val="00182B81"/>
    <w:rsid w:val="0018619D"/>
    <w:rsid w:val="001A011E"/>
    <w:rsid w:val="001A066A"/>
    <w:rsid w:val="001A13E6"/>
    <w:rsid w:val="001A5731"/>
    <w:rsid w:val="001B42C3"/>
    <w:rsid w:val="001B606C"/>
    <w:rsid w:val="001C5D5E"/>
    <w:rsid w:val="001D678D"/>
    <w:rsid w:val="001D78AD"/>
    <w:rsid w:val="001E03F8"/>
    <w:rsid w:val="001E1678"/>
    <w:rsid w:val="001E3376"/>
    <w:rsid w:val="002064D4"/>
    <w:rsid w:val="002069B3"/>
    <w:rsid w:val="002329CF"/>
    <w:rsid w:val="00232F5B"/>
    <w:rsid w:val="00247C29"/>
    <w:rsid w:val="00260467"/>
    <w:rsid w:val="00263EA3"/>
    <w:rsid w:val="00283678"/>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A3D7B"/>
    <w:rsid w:val="003A61B3"/>
    <w:rsid w:val="003B6E75"/>
    <w:rsid w:val="003B7DA1"/>
    <w:rsid w:val="003D0379"/>
    <w:rsid w:val="003D2574"/>
    <w:rsid w:val="003D4C59"/>
    <w:rsid w:val="003F4267"/>
    <w:rsid w:val="003F5896"/>
    <w:rsid w:val="00404032"/>
    <w:rsid w:val="0040736F"/>
    <w:rsid w:val="00412C1F"/>
    <w:rsid w:val="00421CB2"/>
    <w:rsid w:val="004268B9"/>
    <w:rsid w:val="00433B96"/>
    <w:rsid w:val="00435DC4"/>
    <w:rsid w:val="004440F1"/>
    <w:rsid w:val="004456DD"/>
    <w:rsid w:val="00446CDF"/>
    <w:rsid w:val="004521B7"/>
    <w:rsid w:val="00462AB5"/>
    <w:rsid w:val="00464A35"/>
    <w:rsid w:val="00465EAF"/>
    <w:rsid w:val="004738C5"/>
    <w:rsid w:val="00491046"/>
    <w:rsid w:val="004A2AC7"/>
    <w:rsid w:val="004A6D2F"/>
    <w:rsid w:val="004C2887"/>
    <w:rsid w:val="004D2626"/>
    <w:rsid w:val="004D6E26"/>
    <w:rsid w:val="004D77D3"/>
    <w:rsid w:val="004E2959"/>
    <w:rsid w:val="004F20EF"/>
    <w:rsid w:val="0050321C"/>
    <w:rsid w:val="00514478"/>
    <w:rsid w:val="0054712D"/>
    <w:rsid w:val="00547EF6"/>
    <w:rsid w:val="005570B5"/>
    <w:rsid w:val="00567E18"/>
    <w:rsid w:val="00575F5F"/>
    <w:rsid w:val="00581805"/>
    <w:rsid w:val="00585F76"/>
    <w:rsid w:val="005A34E4"/>
    <w:rsid w:val="005B17F2"/>
    <w:rsid w:val="005B3F90"/>
    <w:rsid w:val="005B7FB0"/>
    <w:rsid w:val="005C35A5"/>
    <w:rsid w:val="005C577C"/>
    <w:rsid w:val="005D0621"/>
    <w:rsid w:val="005D1E27"/>
    <w:rsid w:val="005D2A3E"/>
    <w:rsid w:val="005E022E"/>
    <w:rsid w:val="005E5215"/>
    <w:rsid w:val="005F7F7E"/>
    <w:rsid w:val="00602C91"/>
    <w:rsid w:val="00614693"/>
    <w:rsid w:val="00615BCE"/>
    <w:rsid w:val="00623C2F"/>
    <w:rsid w:val="00633578"/>
    <w:rsid w:val="00637068"/>
    <w:rsid w:val="00650811"/>
    <w:rsid w:val="00661D3E"/>
    <w:rsid w:val="00692627"/>
    <w:rsid w:val="006969E7"/>
    <w:rsid w:val="006A3643"/>
    <w:rsid w:val="006C2A29"/>
    <w:rsid w:val="006C3647"/>
    <w:rsid w:val="006C64CF"/>
    <w:rsid w:val="006D17B1"/>
    <w:rsid w:val="006D4752"/>
    <w:rsid w:val="006D708A"/>
    <w:rsid w:val="006E0999"/>
    <w:rsid w:val="006E14C1"/>
    <w:rsid w:val="006F0292"/>
    <w:rsid w:val="006F27FA"/>
    <w:rsid w:val="006F357D"/>
    <w:rsid w:val="006F416B"/>
    <w:rsid w:val="006F519B"/>
    <w:rsid w:val="00713675"/>
    <w:rsid w:val="00715823"/>
    <w:rsid w:val="007326A9"/>
    <w:rsid w:val="00737B93"/>
    <w:rsid w:val="00745BF0"/>
    <w:rsid w:val="007615FE"/>
    <w:rsid w:val="00762E34"/>
    <w:rsid w:val="0076655C"/>
    <w:rsid w:val="007742DC"/>
    <w:rsid w:val="00791437"/>
    <w:rsid w:val="00792DBD"/>
    <w:rsid w:val="007A1E9C"/>
    <w:rsid w:val="007B0C2C"/>
    <w:rsid w:val="007B278E"/>
    <w:rsid w:val="007C5C23"/>
    <w:rsid w:val="007E2A26"/>
    <w:rsid w:val="007F2348"/>
    <w:rsid w:val="00802AE3"/>
    <w:rsid w:val="00803F07"/>
    <w:rsid w:val="0080749A"/>
    <w:rsid w:val="00821FB8"/>
    <w:rsid w:val="00822ACD"/>
    <w:rsid w:val="00855C66"/>
    <w:rsid w:val="00871EE4"/>
    <w:rsid w:val="008B293F"/>
    <w:rsid w:val="008B7371"/>
    <w:rsid w:val="008D3DDB"/>
    <w:rsid w:val="008E2C80"/>
    <w:rsid w:val="008F573F"/>
    <w:rsid w:val="009034EC"/>
    <w:rsid w:val="00924A5C"/>
    <w:rsid w:val="0093067A"/>
    <w:rsid w:val="00941C60"/>
    <w:rsid w:val="00941FD1"/>
    <w:rsid w:val="009515C4"/>
    <w:rsid w:val="00966D42"/>
    <w:rsid w:val="00971689"/>
    <w:rsid w:val="00973E90"/>
    <w:rsid w:val="00975B07"/>
    <w:rsid w:val="00980B4A"/>
    <w:rsid w:val="009930F0"/>
    <w:rsid w:val="009A211F"/>
    <w:rsid w:val="009B3E52"/>
    <w:rsid w:val="009E3D0A"/>
    <w:rsid w:val="009E51FC"/>
    <w:rsid w:val="009E5691"/>
    <w:rsid w:val="009F1D28"/>
    <w:rsid w:val="009F7618"/>
    <w:rsid w:val="00A02795"/>
    <w:rsid w:val="00A04D23"/>
    <w:rsid w:val="00A06766"/>
    <w:rsid w:val="00A13765"/>
    <w:rsid w:val="00A21299"/>
    <w:rsid w:val="00A21B12"/>
    <w:rsid w:val="00A23F80"/>
    <w:rsid w:val="00A46E98"/>
    <w:rsid w:val="00A6352B"/>
    <w:rsid w:val="00A701B5"/>
    <w:rsid w:val="00A714BB"/>
    <w:rsid w:val="00A73DF8"/>
    <w:rsid w:val="00A77147"/>
    <w:rsid w:val="00A92D8F"/>
    <w:rsid w:val="00AB2988"/>
    <w:rsid w:val="00AB7999"/>
    <w:rsid w:val="00AD3292"/>
    <w:rsid w:val="00AE7AF0"/>
    <w:rsid w:val="00B14E9D"/>
    <w:rsid w:val="00B500CA"/>
    <w:rsid w:val="00B63DE0"/>
    <w:rsid w:val="00B86314"/>
    <w:rsid w:val="00BA1C2E"/>
    <w:rsid w:val="00BC200B"/>
    <w:rsid w:val="00BC4756"/>
    <w:rsid w:val="00BC69A4"/>
    <w:rsid w:val="00BC6E90"/>
    <w:rsid w:val="00BE0680"/>
    <w:rsid w:val="00BE305F"/>
    <w:rsid w:val="00BE7BA3"/>
    <w:rsid w:val="00BF5682"/>
    <w:rsid w:val="00BF7B09"/>
    <w:rsid w:val="00C20A95"/>
    <w:rsid w:val="00C2692F"/>
    <w:rsid w:val="00C3207C"/>
    <w:rsid w:val="00C400E1"/>
    <w:rsid w:val="00C41187"/>
    <w:rsid w:val="00C530DE"/>
    <w:rsid w:val="00C63C31"/>
    <w:rsid w:val="00C72BCC"/>
    <w:rsid w:val="00C73899"/>
    <w:rsid w:val="00C757A0"/>
    <w:rsid w:val="00C760DE"/>
    <w:rsid w:val="00C82630"/>
    <w:rsid w:val="00C85B4E"/>
    <w:rsid w:val="00C907F7"/>
    <w:rsid w:val="00CA2103"/>
    <w:rsid w:val="00CA6F77"/>
    <w:rsid w:val="00CB6B99"/>
    <w:rsid w:val="00CE4C87"/>
    <w:rsid w:val="00CE544A"/>
    <w:rsid w:val="00CF3E03"/>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B697A"/>
    <w:rsid w:val="00ED52CA"/>
    <w:rsid w:val="00ED5860"/>
    <w:rsid w:val="00EE35C9"/>
    <w:rsid w:val="00F05ECA"/>
    <w:rsid w:val="00F3566E"/>
    <w:rsid w:val="00F375FB"/>
    <w:rsid w:val="00F41AC1"/>
    <w:rsid w:val="00F4367A"/>
    <w:rsid w:val="00F445B1"/>
    <w:rsid w:val="00F45CD4"/>
    <w:rsid w:val="00F64D66"/>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266FDB"/>
  <w15:docId w15:val="{9BF4CCFE-143D-4DF1-8F8D-2DE5EED1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3201617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104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bbins\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db8f1d2-729e-4e17-b922-d1876d49c6d9"/>
    <ds:schemaRef ds:uri="http://www.w3.org/XML/1998/namespac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E0FF5177-4197-46EE-9D23-61C93A0A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39</TotalTime>
  <Pages>3</Pages>
  <Words>681</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Egubbins</dc:creator>
  <cp:lastModifiedBy>MITCHELL John</cp:lastModifiedBy>
  <cp:revision>13</cp:revision>
  <cp:lastPrinted>2015-07-03T12:50:00Z</cp:lastPrinted>
  <dcterms:created xsi:type="dcterms:W3CDTF">2020-11-10T11:08:00Z</dcterms:created>
  <dcterms:modified xsi:type="dcterms:W3CDTF">2020-11-30T15:56:00Z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